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87" w:rsidRDefault="001852BF">
      <w:pPr>
        <w:jc w:val="center"/>
        <w:rPr>
          <w:rFonts w:ascii="Permanent Marker" w:eastAsia="Permanent Marker" w:hAnsi="Permanent Marker" w:cs="Permanent Marker"/>
          <w:b/>
          <w:sz w:val="36"/>
          <w:szCs w:val="36"/>
          <w:u w:val="single"/>
        </w:rPr>
      </w:pPr>
      <w:bookmarkStart w:id="0" w:name="_GoBack"/>
      <w:bookmarkEnd w:id="0"/>
      <w:r>
        <w:rPr>
          <w:rFonts w:ascii="Permanent Marker" w:eastAsia="Permanent Marker" w:hAnsi="Permanent Marker" w:cs="Permanent Marker"/>
          <w:b/>
          <w:sz w:val="36"/>
          <w:szCs w:val="36"/>
          <w:u w:val="single"/>
        </w:rPr>
        <w:t>SENIOR SCHOLARSHIP LIST</w:t>
      </w:r>
    </w:p>
    <w:p w:rsidR="00E75287" w:rsidRDefault="00E75287">
      <w:pPr>
        <w:jc w:val="center"/>
        <w:rPr>
          <w:sz w:val="28"/>
          <w:szCs w:val="28"/>
        </w:rPr>
      </w:pPr>
    </w:p>
    <w:p w:rsidR="00E75287" w:rsidRDefault="001852BF">
      <w:pPr>
        <w:rPr>
          <w:sz w:val="20"/>
          <w:szCs w:val="20"/>
        </w:rPr>
      </w:pPr>
      <w:r>
        <w:rPr>
          <w:sz w:val="20"/>
          <w:szCs w:val="20"/>
        </w:rPr>
        <w:t xml:space="preserve">All scholarships that come into the counseling office at school will be on this list and in by order of the scholarship due date.  In addition, at the end of this list are the local scholarships offered to </w:t>
      </w:r>
      <w:proofErr w:type="spellStart"/>
      <w:r>
        <w:rPr>
          <w:sz w:val="20"/>
          <w:szCs w:val="20"/>
        </w:rPr>
        <w:t>Higbee</w:t>
      </w:r>
      <w:proofErr w:type="spellEnd"/>
      <w:r>
        <w:rPr>
          <w:sz w:val="20"/>
          <w:szCs w:val="20"/>
        </w:rPr>
        <w:t xml:space="preserve"> Seniors and are due to the counselor by Mar</w:t>
      </w:r>
      <w:r>
        <w:rPr>
          <w:sz w:val="20"/>
          <w:szCs w:val="20"/>
        </w:rPr>
        <w:t>ch 1, 2018.</w:t>
      </w:r>
    </w:p>
    <w:p w:rsidR="00E75287" w:rsidRDefault="00E75287">
      <w:pPr>
        <w:rPr>
          <w:sz w:val="20"/>
          <w:szCs w:val="20"/>
        </w:rPr>
      </w:pPr>
    </w:p>
    <w:p w:rsidR="00E75287" w:rsidRDefault="001852BF">
      <w:pPr>
        <w:rPr>
          <w:rFonts w:ascii="Permanent Marker" w:eastAsia="Permanent Marker" w:hAnsi="Permanent Marker" w:cs="Permanent Marker"/>
          <w:b/>
          <w:sz w:val="28"/>
          <w:szCs w:val="28"/>
        </w:rPr>
      </w:pPr>
      <w:r>
        <w:rPr>
          <w:rFonts w:ascii="Permanent Marker" w:eastAsia="Permanent Marker" w:hAnsi="Permanent Marker" w:cs="Permanent Marker"/>
          <w:b/>
          <w:sz w:val="28"/>
          <w:szCs w:val="28"/>
        </w:rPr>
        <w:t>October 2017</w:t>
      </w:r>
    </w:p>
    <w:p w:rsidR="00E75287" w:rsidRDefault="00E75287">
      <w:pPr>
        <w:rPr>
          <w:rFonts w:ascii="Permanent Marker" w:eastAsia="Permanent Marker" w:hAnsi="Permanent Marker" w:cs="Permanent Marker"/>
          <w:b/>
          <w:sz w:val="28"/>
          <w:szCs w:val="28"/>
        </w:rPr>
      </w:pPr>
    </w:p>
    <w:p w:rsidR="00E75287" w:rsidRDefault="001852BF">
      <w:pPr>
        <w:numPr>
          <w:ilvl w:val="0"/>
          <w:numId w:val="2"/>
        </w:numPr>
        <w:contextualSpacing/>
        <w:rPr>
          <w:sz w:val="24"/>
          <w:szCs w:val="24"/>
        </w:rPr>
      </w:pPr>
      <w:r>
        <w:rPr>
          <w:sz w:val="24"/>
          <w:szCs w:val="24"/>
        </w:rPr>
        <w:t xml:space="preserve">The </w:t>
      </w:r>
      <w:r>
        <w:rPr>
          <w:b/>
          <w:sz w:val="24"/>
          <w:szCs w:val="24"/>
        </w:rPr>
        <w:t xml:space="preserve">Wendy’s High School Heisman Scholarship </w:t>
      </w:r>
      <w:r>
        <w:rPr>
          <w:sz w:val="24"/>
          <w:szCs w:val="24"/>
        </w:rPr>
        <w:t xml:space="preserve">is accepting applications until </w:t>
      </w:r>
      <w:r>
        <w:rPr>
          <w:b/>
          <w:sz w:val="24"/>
          <w:szCs w:val="24"/>
        </w:rPr>
        <w:t>October 1st</w:t>
      </w:r>
      <w:r>
        <w:rPr>
          <w:sz w:val="24"/>
          <w:szCs w:val="24"/>
        </w:rPr>
        <w:t xml:space="preserve"> for those senior scholar-athletes with high character.  To apply, visit WintheWendysHeisman.com.  See Counselor’s Corner for more information</w:t>
      </w:r>
      <w:r>
        <w:rPr>
          <w:sz w:val="24"/>
          <w:szCs w:val="24"/>
        </w:rPr>
        <w:t>.</w:t>
      </w:r>
    </w:p>
    <w:p w:rsidR="00E75287" w:rsidRDefault="00E75287">
      <w:pPr>
        <w:rPr>
          <w:sz w:val="24"/>
          <w:szCs w:val="24"/>
        </w:rPr>
      </w:pPr>
    </w:p>
    <w:p w:rsidR="00E75287" w:rsidRDefault="001852BF">
      <w:pPr>
        <w:numPr>
          <w:ilvl w:val="0"/>
          <w:numId w:val="6"/>
        </w:numPr>
        <w:contextualSpacing/>
        <w:rPr>
          <w:sz w:val="24"/>
          <w:szCs w:val="24"/>
        </w:rPr>
      </w:pPr>
      <w:r>
        <w:rPr>
          <w:sz w:val="24"/>
          <w:szCs w:val="24"/>
        </w:rPr>
        <w:t xml:space="preserve">The </w:t>
      </w:r>
      <w:r>
        <w:rPr>
          <w:b/>
          <w:sz w:val="24"/>
          <w:szCs w:val="24"/>
        </w:rPr>
        <w:t xml:space="preserve">Horatio Alger Scholarship </w:t>
      </w:r>
      <w:r>
        <w:rPr>
          <w:sz w:val="24"/>
          <w:szCs w:val="24"/>
        </w:rPr>
        <w:t xml:space="preserve">is open for applications starting now until </w:t>
      </w:r>
      <w:r>
        <w:rPr>
          <w:b/>
          <w:sz w:val="24"/>
          <w:szCs w:val="24"/>
        </w:rPr>
        <w:t>October 25th</w:t>
      </w:r>
      <w:r>
        <w:rPr>
          <w:sz w:val="24"/>
          <w:szCs w:val="24"/>
        </w:rPr>
        <w:t xml:space="preserve"> at scholars.horatioalger.org.  Eligibility includes high school graduation in spring or summer or next year, demonstrate critical financial need ($55,000 or lower adj</w:t>
      </w:r>
      <w:r>
        <w:rPr>
          <w:sz w:val="24"/>
          <w:szCs w:val="24"/>
        </w:rPr>
        <w:t>usted gross family income and GPA of 2.0 or above.  See Counselor’s Corner for more details.</w:t>
      </w:r>
    </w:p>
    <w:p w:rsidR="00E75287" w:rsidRDefault="00E75287">
      <w:pPr>
        <w:rPr>
          <w:sz w:val="24"/>
          <w:szCs w:val="24"/>
        </w:rPr>
      </w:pPr>
    </w:p>
    <w:p w:rsidR="00E75287" w:rsidRDefault="001852BF">
      <w:pPr>
        <w:numPr>
          <w:ilvl w:val="0"/>
          <w:numId w:val="1"/>
        </w:numPr>
        <w:contextualSpacing/>
        <w:rPr>
          <w:sz w:val="24"/>
          <w:szCs w:val="24"/>
        </w:rPr>
      </w:pPr>
      <w:r>
        <w:rPr>
          <w:b/>
          <w:sz w:val="24"/>
          <w:szCs w:val="24"/>
        </w:rPr>
        <w:t>Culver-Stockton College</w:t>
      </w:r>
      <w:r>
        <w:rPr>
          <w:sz w:val="24"/>
          <w:szCs w:val="24"/>
        </w:rPr>
        <w:t xml:space="preserve"> is having a Full-Tuition Scholarship Competition!  Students applying must meet the following requirements:</w:t>
      </w:r>
    </w:p>
    <w:p w:rsidR="00E75287" w:rsidRDefault="001852BF">
      <w:pPr>
        <w:numPr>
          <w:ilvl w:val="1"/>
          <w:numId w:val="7"/>
        </w:numPr>
        <w:contextualSpacing/>
        <w:rPr>
          <w:sz w:val="24"/>
          <w:szCs w:val="24"/>
        </w:rPr>
      </w:pPr>
      <w:r>
        <w:rPr>
          <w:sz w:val="24"/>
          <w:szCs w:val="24"/>
        </w:rPr>
        <w:t>Apply and be admitted to Culver</w:t>
      </w:r>
      <w:r>
        <w:rPr>
          <w:sz w:val="24"/>
          <w:szCs w:val="24"/>
        </w:rPr>
        <w:t>-Stockton as first-time freshman</w:t>
      </w:r>
    </w:p>
    <w:p w:rsidR="00E75287" w:rsidRDefault="001852BF">
      <w:pPr>
        <w:numPr>
          <w:ilvl w:val="1"/>
          <w:numId w:val="7"/>
        </w:numPr>
        <w:contextualSpacing/>
        <w:rPr>
          <w:sz w:val="24"/>
          <w:szCs w:val="24"/>
        </w:rPr>
      </w:pPr>
      <w:r>
        <w:rPr>
          <w:sz w:val="24"/>
          <w:szCs w:val="24"/>
        </w:rPr>
        <w:t>26 ACT</w:t>
      </w:r>
    </w:p>
    <w:p w:rsidR="00E75287" w:rsidRDefault="001852BF">
      <w:pPr>
        <w:numPr>
          <w:ilvl w:val="1"/>
          <w:numId w:val="7"/>
        </w:numPr>
        <w:contextualSpacing/>
        <w:rPr>
          <w:sz w:val="24"/>
          <w:szCs w:val="24"/>
        </w:rPr>
      </w:pPr>
      <w:r>
        <w:rPr>
          <w:sz w:val="24"/>
          <w:szCs w:val="24"/>
        </w:rPr>
        <w:t>3.5 cumulative GPA</w:t>
      </w:r>
    </w:p>
    <w:p w:rsidR="00E75287" w:rsidRDefault="001852BF">
      <w:pPr>
        <w:ind w:left="720"/>
        <w:rPr>
          <w:sz w:val="24"/>
          <w:szCs w:val="24"/>
        </w:rPr>
      </w:pPr>
      <w:r>
        <w:rPr>
          <w:sz w:val="24"/>
          <w:szCs w:val="24"/>
        </w:rPr>
        <w:t>Competition Process:</w:t>
      </w:r>
    </w:p>
    <w:p w:rsidR="00E75287" w:rsidRDefault="001852BF">
      <w:pPr>
        <w:numPr>
          <w:ilvl w:val="0"/>
          <w:numId w:val="8"/>
        </w:numPr>
        <w:contextualSpacing/>
        <w:rPr>
          <w:sz w:val="24"/>
          <w:szCs w:val="24"/>
        </w:rPr>
      </w:pPr>
      <w:r>
        <w:rPr>
          <w:sz w:val="24"/>
          <w:szCs w:val="24"/>
        </w:rPr>
        <w:t>Tour campus between October and January with a Wildcat Ambassador</w:t>
      </w:r>
    </w:p>
    <w:p w:rsidR="00E75287" w:rsidRDefault="001852BF">
      <w:pPr>
        <w:numPr>
          <w:ilvl w:val="0"/>
          <w:numId w:val="8"/>
        </w:numPr>
        <w:contextualSpacing/>
        <w:rPr>
          <w:sz w:val="24"/>
          <w:szCs w:val="24"/>
        </w:rPr>
      </w:pPr>
      <w:r>
        <w:rPr>
          <w:sz w:val="24"/>
          <w:szCs w:val="24"/>
        </w:rPr>
        <w:t>Attend a session with the Pillars Scholar Committee</w:t>
      </w:r>
    </w:p>
    <w:p w:rsidR="00E75287" w:rsidRDefault="001852BF">
      <w:pPr>
        <w:numPr>
          <w:ilvl w:val="0"/>
          <w:numId w:val="8"/>
        </w:numPr>
        <w:contextualSpacing/>
        <w:rPr>
          <w:sz w:val="24"/>
          <w:szCs w:val="24"/>
        </w:rPr>
      </w:pPr>
      <w:r>
        <w:rPr>
          <w:sz w:val="24"/>
          <w:szCs w:val="24"/>
        </w:rPr>
        <w:t>Submit an essay prior to conclusion of competition</w:t>
      </w:r>
    </w:p>
    <w:p w:rsidR="00E75287" w:rsidRDefault="001852BF">
      <w:pPr>
        <w:rPr>
          <w:sz w:val="24"/>
          <w:szCs w:val="24"/>
        </w:rPr>
      </w:pPr>
      <w:r>
        <w:rPr>
          <w:sz w:val="24"/>
          <w:szCs w:val="24"/>
        </w:rPr>
        <w:tab/>
        <w:t>Sign u</w:t>
      </w:r>
      <w:r>
        <w:rPr>
          <w:sz w:val="24"/>
          <w:szCs w:val="24"/>
        </w:rPr>
        <w:t>p online at CULVER.EDU/PILLARS</w:t>
      </w:r>
    </w:p>
    <w:p w:rsidR="00E75287" w:rsidRDefault="00E75287">
      <w:pPr>
        <w:rPr>
          <w:sz w:val="24"/>
          <w:szCs w:val="24"/>
        </w:rPr>
      </w:pPr>
    </w:p>
    <w:p w:rsidR="00E75287" w:rsidRDefault="00E75287">
      <w:pPr>
        <w:rPr>
          <w:rFonts w:ascii="Permanent Marker" w:eastAsia="Permanent Marker" w:hAnsi="Permanent Marker" w:cs="Permanent Marker"/>
          <w:b/>
          <w:sz w:val="28"/>
          <w:szCs w:val="28"/>
        </w:rPr>
      </w:pPr>
    </w:p>
    <w:p w:rsidR="00E75287" w:rsidRDefault="001852BF">
      <w:pPr>
        <w:rPr>
          <w:sz w:val="28"/>
          <w:szCs w:val="28"/>
        </w:rPr>
      </w:pPr>
      <w:r>
        <w:rPr>
          <w:rFonts w:ascii="Permanent Marker" w:eastAsia="Permanent Marker" w:hAnsi="Permanent Marker" w:cs="Permanent Marker"/>
          <w:b/>
          <w:sz w:val="28"/>
          <w:szCs w:val="28"/>
        </w:rPr>
        <w:t>March 2018</w:t>
      </w:r>
    </w:p>
    <w:p w:rsidR="00E75287" w:rsidRDefault="00E75287">
      <w:pPr>
        <w:jc w:val="center"/>
        <w:rPr>
          <w:sz w:val="28"/>
          <w:szCs w:val="28"/>
        </w:rPr>
      </w:pPr>
    </w:p>
    <w:p w:rsidR="00E75287" w:rsidRDefault="001852BF">
      <w:pPr>
        <w:jc w:val="center"/>
        <w:rPr>
          <w:sz w:val="28"/>
          <w:szCs w:val="28"/>
          <w:u w:val="single"/>
        </w:rPr>
      </w:pPr>
      <w:r>
        <w:rPr>
          <w:sz w:val="28"/>
          <w:szCs w:val="28"/>
          <w:u w:val="single"/>
        </w:rPr>
        <w:t>Local Scholarship Instructions</w:t>
      </w:r>
    </w:p>
    <w:p w:rsidR="00E75287" w:rsidRDefault="001852BF">
      <w:pPr>
        <w:rPr>
          <w:sz w:val="24"/>
          <w:szCs w:val="24"/>
        </w:rPr>
      </w:pPr>
      <w:r>
        <w:rPr>
          <w:sz w:val="24"/>
          <w:szCs w:val="24"/>
        </w:rPr>
        <w:t>For local scholarships, you will need to have your transcript, 2 letters of recommendation and a composed, typed biography of yourself that includes your post-secondary plans and why you feel you deserve the scholarship. Copy for each of the following scho</w:t>
      </w:r>
      <w:r>
        <w:rPr>
          <w:sz w:val="24"/>
          <w:szCs w:val="24"/>
        </w:rPr>
        <w:t>larships:</w:t>
      </w:r>
    </w:p>
    <w:p w:rsidR="00E75287" w:rsidRDefault="00E75287">
      <w:pPr>
        <w:rPr>
          <w:sz w:val="24"/>
          <w:szCs w:val="24"/>
        </w:rPr>
      </w:pPr>
    </w:p>
    <w:p w:rsidR="00E75287" w:rsidRDefault="001852BF">
      <w:pPr>
        <w:numPr>
          <w:ilvl w:val="0"/>
          <w:numId w:val="3"/>
        </w:numPr>
        <w:contextualSpacing/>
      </w:pPr>
      <w:r>
        <w:rPr>
          <w:sz w:val="24"/>
          <w:szCs w:val="24"/>
        </w:rPr>
        <w:lastRenderedPageBreak/>
        <w:t>·</w:t>
      </w:r>
      <w:r>
        <w:rPr>
          <w:rFonts w:ascii="Times New Roman" w:eastAsia="Times New Roman" w:hAnsi="Times New Roman" w:cs="Times New Roman"/>
          <w:sz w:val="14"/>
          <w:szCs w:val="14"/>
        </w:rPr>
        <w:t xml:space="preserve">         </w:t>
      </w:r>
      <w:r>
        <w:rPr>
          <w:sz w:val="24"/>
          <w:szCs w:val="24"/>
        </w:rPr>
        <w:t>Lions Club</w:t>
      </w:r>
    </w:p>
    <w:p w:rsidR="00E75287" w:rsidRDefault="001852BF">
      <w:pPr>
        <w:numPr>
          <w:ilvl w:val="0"/>
          <w:numId w:val="3"/>
        </w:numPr>
        <w:contextualSpacing/>
      </w:pPr>
      <w:r>
        <w:rPr>
          <w:sz w:val="24"/>
          <w:szCs w:val="24"/>
        </w:rPr>
        <w:t>·</w:t>
      </w:r>
      <w:r>
        <w:rPr>
          <w:rFonts w:ascii="Times New Roman" w:eastAsia="Times New Roman" w:hAnsi="Times New Roman" w:cs="Times New Roman"/>
          <w:sz w:val="14"/>
          <w:szCs w:val="14"/>
        </w:rPr>
        <w:t xml:space="preserve">         </w:t>
      </w:r>
      <w:r>
        <w:rPr>
          <w:sz w:val="24"/>
          <w:szCs w:val="24"/>
        </w:rPr>
        <w:t>O-Dell-</w:t>
      </w:r>
      <w:proofErr w:type="spellStart"/>
      <w:r>
        <w:rPr>
          <w:sz w:val="24"/>
          <w:szCs w:val="24"/>
        </w:rPr>
        <w:t>Rennolds</w:t>
      </w:r>
      <w:proofErr w:type="spellEnd"/>
    </w:p>
    <w:p w:rsidR="00E75287" w:rsidRDefault="001852BF">
      <w:pPr>
        <w:numPr>
          <w:ilvl w:val="0"/>
          <w:numId w:val="3"/>
        </w:numPr>
        <w:contextualSpacing/>
      </w:pPr>
      <w:r>
        <w:rPr>
          <w:sz w:val="24"/>
          <w:szCs w:val="24"/>
        </w:rPr>
        <w:t>·</w:t>
      </w:r>
      <w:r>
        <w:rPr>
          <w:rFonts w:ascii="Times New Roman" w:eastAsia="Times New Roman" w:hAnsi="Times New Roman" w:cs="Times New Roman"/>
          <w:sz w:val="14"/>
          <w:szCs w:val="14"/>
        </w:rPr>
        <w:t xml:space="preserve">         </w:t>
      </w:r>
      <w:r>
        <w:rPr>
          <w:sz w:val="24"/>
          <w:szCs w:val="24"/>
        </w:rPr>
        <w:t>Stuart-Wallace</w:t>
      </w:r>
    </w:p>
    <w:p w:rsidR="00E75287" w:rsidRDefault="001852BF">
      <w:pPr>
        <w:numPr>
          <w:ilvl w:val="0"/>
          <w:numId w:val="3"/>
        </w:numPr>
        <w:contextualSpacing/>
      </w:pPr>
      <w:r>
        <w:rPr>
          <w:sz w:val="24"/>
          <w:szCs w:val="24"/>
        </w:rPr>
        <w:t>·</w:t>
      </w:r>
      <w:r>
        <w:rPr>
          <w:rFonts w:ascii="Times New Roman" w:eastAsia="Times New Roman" w:hAnsi="Times New Roman" w:cs="Times New Roman"/>
          <w:sz w:val="14"/>
          <w:szCs w:val="14"/>
        </w:rPr>
        <w:t xml:space="preserve">         </w:t>
      </w:r>
      <w:r>
        <w:rPr>
          <w:sz w:val="24"/>
          <w:szCs w:val="24"/>
        </w:rPr>
        <w:t>Harry Shumate</w:t>
      </w:r>
    </w:p>
    <w:p w:rsidR="00E75287" w:rsidRDefault="001852BF">
      <w:pPr>
        <w:numPr>
          <w:ilvl w:val="0"/>
          <w:numId w:val="3"/>
        </w:numPr>
        <w:contextualSpacing/>
      </w:pPr>
      <w:r>
        <w:rPr>
          <w:sz w:val="24"/>
          <w:szCs w:val="24"/>
        </w:rPr>
        <w:t>·</w:t>
      </w:r>
      <w:r>
        <w:rPr>
          <w:rFonts w:ascii="Times New Roman" w:eastAsia="Times New Roman" w:hAnsi="Times New Roman" w:cs="Times New Roman"/>
          <w:sz w:val="14"/>
          <w:szCs w:val="14"/>
        </w:rPr>
        <w:t xml:space="preserve">         </w:t>
      </w:r>
      <w:r>
        <w:rPr>
          <w:sz w:val="24"/>
          <w:szCs w:val="24"/>
        </w:rPr>
        <w:t>Community Teachers Association</w:t>
      </w:r>
    </w:p>
    <w:p w:rsidR="00E75287" w:rsidRDefault="001852BF">
      <w:pPr>
        <w:numPr>
          <w:ilvl w:val="0"/>
          <w:numId w:val="3"/>
        </w:numPr>
        <w:contextualSpacing/>
      </w:pPr>
      <w:r>
        <w:rPr>
          <w:sz w:val="24"/>
          <w:szCs w:val="24"/>
        </w:rPr>
        <w:t>·</w:t>
      </w:r>
      <w:r>
        <w:rPr>
          <w:rFonts w:ascii="Times New Roman" w:eastAsia="Times New Roman" w:hAnsi="Times New Roman" w:cs="Times New Roman"/>
          <w:sz w:val="14"/>
          <w:szCs w:val="14"/>
        </w:rPr>
        <w:t xml:space="preserve">         </w:t>
      </w:r>
      <w:r>
        <w:rPr>
          <w:sz w:val="24"/>
          <w:szCs w:val="24"/>
        </w:rPr>
        <w:t xml:space="preserve">Student Council </w:t>
      </w:r>
    </w:p>
    <w:p w:rsidR="00E75287" w:rsidRDefault="001852BF">
      <w:pPr>
        <w:numPr>
          <w:ilvl w:val="0"/>
          <w:numId w:val="3"/>
        </w:numPr>
        <w:contextualSpacing/>
      </w:pPr>
      <w:r>
        <w:rPr>
          <w:sz w:val="24"/>
          <w:szCs w:val="24"/>
        </w:rPr>
        <w:t>·</w:t>
      </w:r>
      <w:r>
        <w:rPr>
          <w:rFonts w:ascii="Times New Roman" w:eastAsia="Times New Roman" w:hAnsi="Times New Roman" w:cs="Times New Roman"/>
          <w:sz w:val="14"/>
          <w:szCs w:val="14"/>
        </w:rPr>
        <w:t xml:space="preserve">         </w:t>
      </w:r>
      <w:r>
        <w:rPr>
          <w:sz w:val="24"/>
          <w:szCs w:val="24"/>
        </w:rPr>
        <w:t xml:space="preserve">David </w:t>
      </w:r>
      <w:proofErr w:type="spellStart"/>
      <w:r>
        <w:rPr>
          <w:sz w:val="24"/>
          <w:szCs w:val="24"/>
        </w:rPr>
        <w:t>Spilman</w:t>
      </w:r>
      <w:proofErr w:type="spellEnd"/>
    </w:p>
    <w:p w:rsidR="00E75287" w:rsidRDefault="001852BF">
      <w:pPr>
        <w:numPr>
          <w:ilvl w:val="0"/>
          <w:numId w:val="3"/>
        </w:numPr>
        <w:contextualSpacing/>
      </w:pPr>
      <w:r>
        <w:rPr>
          <w:sz w:val="24"/>
          <w:szCs w:val="24"/>
        </w:rPr>
        <w:t>·</w:t>
      </w:r>
      <w:r>
        <w:rPr>
          <w:rFonts w:ascii="Times New Roman" w:eastAsia="Times New Roman" w:hAnsi="Times New Roman" w:cs="Times New Roman"/>
          <w:sz w:val="14"/>
          <w:szCs w:val="14"/>
        </w:rPr>
        <w:t xml:space="preserve">         </w:t>
      </w:r>
      <w:r>
        <w:rPr>
          <w:sz w:val="24"/>
          <w:szCs w:val="24"/>
        </w:rPr>
        <w:t>Booster Club – additional application in folder</w:t>
      </w:r>
    </w:p>
    <w:p w:rsidR="00E75287" w:rsidRDefault="001852BF">
      <w:pPr>
        <w:numPr>
          <w:ilvl w:val="0"/>
          <w:numId w:val="3"/>
        </w:numPr>
        <w:contextualSpacing/>
      </w:pPr>
      <w:r>
        <w:rPr>
          <w:sz w:val="24"/>
          <w:szCs w:val="24"/>
        </w:rPr>
        <w:t>·</w:t>
      </w:r>
      <w:r>
        <w:rPr>
          <w:rFonts w:ascii="Times New Roman" w:eastAsia="Times New Roman" w:hAnsi="Times New Roman" w:cs="Times New Roman"/>
          <w:sz w:val="14"/>
          <w:szCs w:val="14"/>
        </w:rPr>
        <w:t xml:space="preserve">         </w:t>
      </w:r>
      <w:r>
        <w:rPr>
          <w:sz w:val="24"/>
          <w:szCs w:val="24"/>
        </w:rPr>
        <w:t>Chris Dougherty – additional instructions in folder (essay)</w:t>
      </w:r>
    </w:p>
    <w:p w:rsidR="00E75287" w:rsidRDefault="001852BF">
      <w:pPr>
        <w:numPr>
          <w:ilvl w:val="0"/>
          <w:numId w:val="3"/>
        </w:numPr>
        <w:contextualSpacing/>
      </w:pPr>
      <w:r>
        <w:rPr>
          <w:sz w:val="24"/>
          <w:szCs w:val="24"/>
        </w:rPr>
        <w:t>·</w:t>
      </w:r>
      <w:r>
        <w:rPr>
          <w:rFonts w:ascii="Times New Roman" w:eastAsia="Times New Roman" w:hAnsi="Times New Roman" w:cs="Times New Roman"/>
          <w:sz w:val="14"/>
          <w:szCs w:val="14"/>
        </w:rPr>
        <w:t xml:space="preserve">         </w:t>
      </w:r>
      <w:proofErr w:type="spellStart"/>
      <w:r>
        <w:rPr>
          <w:sz w:val="24"/>
          <w:szCs w:val="24"/>
        </w:rPr>
        <w:t>Higbee</w:t>
      </w:r>
      <w:proofErr w:type="spellEnd"/>
      <w:r>
        <w:rPr>
          <w:sz w:val="24"/>
          <w:szCs w:val="24"/>
        </w:rPr>
        <w:t xml:space="preserve"> Alumni – additional application in folder</w:t>
      </w:r>
    </w:p>
    <w:p w:rsidR="00E75287" w:rsidRDefault="00E75287">
      <w:pPr>
        <w:ind w:left="720"/>
        <w:rPr>
          <w:sz w:val="24"/>
          <w:szCs w:val="24"/>
        </w:rPr>
      </w:pPr>
    </w:p>
    <w:p w:rsidR="00E75287" w:rsidRDefault="001852BF">
      <w:pPr>
        <w:ind w:left="720"/>
        <w:rPr>
          <w:rFonts w:ascii="Permanent Marker" w:eastAsia="Permanent Marker" w:hAnsi="Permanent Marker" w:cs="Permanent Marker"/>
          <w:b/>
          <w:sz w:val="28"/>
          <w:szCs w:val="28"/>
        </w:rPr>
      </w:pPr>
      <w:r>
        <w:rPr>
          <w:b/>
          <w:sz w:val="24"/>
          <w:szCs w:val="24"/>
        </w:rPr>
        <w:t>The local scholarships are due to Mrs. Fuemmeler by March 1, 2018</w:t>
      </w:r>
    </w:p>
    <w:p w:rsidR="00E75287" w:rsidRDefault="00E75287">
      <w:pPr>
        <w:rPr>
          <w:rFonts w:ascii="Permanent Marker" w:eastAsia="Permanent Marker" w:hAnsi="Permanent Marker" w:cs="Permanent Marker"/>
          <w:b/>
          <w:sz w:val="28"/>
          <w:szCs w:val="28"/>
        </w:rPr>
      </w:pPr>
    </w:p>
    <w:p w:rsidR="00E75287" w:rsidRDefault="001852BF">
      <w:pPr>
        <w:rPr>
          <w:rFonts w:ascii="Permanent Marker" w:eastAsia="Permanent Marker" w:hAnsi="Permanent Marker" w:cs="Permanent Marker"/>
          <w:b/>
          <w:sz w:val="28"/>
          <w:szCs w:val="28"/>
        </w:rPr>
      </w:pPr>
      <w:r>
        <w:rPr>
          <w:rFonts w:ascii="Permanent Marker" w:eastAsia="Permanent Marker" w:hAnsi="Permanent Marker" w:cs="Permanent Marker"/>
          <w:b/>
          <w:sz w:val="28"/>
          <w:szCs w:val="28"/>
        </w:rPr>
        <w:t>April 2018</w:t>
      </w:r>
    </w:p>
    <w:p w:rsidR="00E75287" w:rsidRDefault="00E75287">
      <w:pPr>
        <w:rPr>
          <w:b/>
          <w:sz w:val="28"/>
          <w:szCs w:val="28"/>
          <w:u w:val="single"/>
        </w:rPr>
      </w:pPr>
    </w:p>
    <w:p w:rsidR="00E75287" w:rsidRDefault="001852BF">
      <w:pPr>
        <w:numPr>
          <w:ilvl w:val="0"/>
          <w:numId w:val="5"/>
        </w:numPr>
        <w:contextualSpacing/>
        <w:rPr>
          <w:sz w:val="24"/>
          <w:szCs w:val="24"/>
        </w:rPr>
      </w:pPr>
      <w:r>
        <w:rPr>
          <w:sz w:val="24"/>
          <w:szCs w:val="24"/>
        </w:rPr>
        <w:t xml:space="preserve">The </w:t>
      </w:r>
      <w:r>
        <w:rPr>
          <w:b/>
          <w:sz w:val="24"/>
          <w:szCs w:val="24"/>
        </w:rPr>
        <w:t>Patriot Guard Riders of Missouri Scholarsh</w:t>
      </w:r>
      <w:r>
        <w:rPr>
          <w:b/>
          <w:sz w:val="24"/>
          <w:szCs w:val="24"/>
        </w:rPr>
        <w:t>ip</w:t>
      </w:r>
      <w:r>
        <w:rPr>
          <w:sz w:val="24"/>
          <w:szCs w:val="24"/>
        </w:rPr>
        <w:t xml:space="preserve"> is being offered to Missouri students who are sons or daughters of those who fall within the following categories:</w:t>
      </w:r>
    </w:p>
    <w:p w:rsidR="00E75287" w:rsidRDefault="001852BF">
      <w:pPr>
        <w:numPr>
          <w:ilvl w:val="1"/>
          <w:numId w:val="5"/>
        </w:numPr>
        <w:contextualSpacing/>
        <w:rPr>
          <w:sz w:val="20"/>
          <w:szCs w:val="20"/>
        </w:rPr>
      </w:pPr>
      <w:r>
        <w:rPr>
          <w:sz w:val="20"/>
          <w:szCs w:val="20"/>
        </w:rPr>
        <w:t>(1) Those who have given their lives in the line of duty, including both military and first responders (police/fire)</w:t>
      </w:r>
    </w:p>
    <w:p w:rsidR="00E75287" w:rsidRDefault="001852BF">
      <w:pPr>
        <w:numPr>
          <w:ilvl w:val="1"/>
          <w:numId w:val="5"/>
        </w:numPr>
        <w:contextualSpacing/>
        <w:rPr>
          <w:sz w:val="20"/>
          <w:szCs w:val="20"/>
        </w:rPr>
      </w:pPr>
      <w:r>
        <w:rPr>
          <w:sz w:val="20"/>
          <w:szCs w:val="20"/>
        </w:rPr>
        <w:t>(2) Those honorably d</w:t>
      </w:r>
      <w:r>
        <w:rPr>
          <w:sz w:val="20"/>
          <w:szCs w:val="20"/>
        </w:rPr>
        <w:t>ischarged veterans who have passed after their term of service</w:t>
      </w:r>
    </w:p>
    <w:p w:rsidR="00E75287" w:rsidRDefault="001852BF">
      <w:pPr>
        <w:numPr>
          <w:ilvl w:val="1"/>
          <w:numId w:val="5"/>
        </w:numPr>
        <w:contextualSpacing/>
      </w:pPr>
      <w:r>
        <w:rPr>
          <w:sz w:val="20"/>
          <w:szCs w:val="20"/>
        </w:rPr>
        <w:t>(3) Those veterans or first responders disabled in the line of duty to the extent that providing an advanced education cannot be easily realized</w:t>
      </w:r>
      <w:r>
        <w:rPr>
          <w:sz w:val="24"/>
          <w:szCs w:val="24"/>
        </w:rPr>
        <w:t>.</w:t>
      </w:r>
    </w:p>
    <w:p w:rsidR="00E75287" w:rsidRDefault="001852BF">
      <w:pPr>
        <w:numPr>
          <w:ilvl w:val="2"/>
          <w:numId w:val="5"/>
        </w:numPr>
        <w:contextualSpacing/>
        <w:rPr>
          <w:sz w:val="24"/>
          <w:szCs w:val="24"/>
        </w:rPr>
      </w:pPr>
      <w:r>
        <w:rPr>
          <w:sz w:val="24"/>
          <w:szCs w:val="24"/>
        </w:rPr>
        <w:t>This scholarship is a non-renewable award in th</w:t>
      </w:r>
      <w:r>
        <w:rPr>
          <w:sz w:val="24"/>
          <w:szCs w:val="24"/>
        </w:rPr>
        <w:t xml:space="preserve">e amount of $2,500.  Applications are in the counseling corner.  </w:t>
      </w:r>
      <w:r>
        <w:rPr>
          <w:b/>
          <w:sz w:val="24"/>
          <w:szCs w:val="24"/>
        </w:rPr>
        <w:t>Scholarship is due April 1, 2018.</w:t>
      </w:r>
    </w:p>
    <w:p w:rsidR="00E75287" w:rsidRDefault="00E75287">
      <w:pPr>
        <w:rPr>
          <w:sz w:val="24"/>
          <w:szCs w:val="24"/>
        </w:rPr>
      </w:pPr>
    </w:p>
    <w:p w:rsidR="00E75287" w:rsidRDefault="001852BF">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May 2018</w:t>
      </w:r>
    </w:p>
    <w:p w:rsidR="00E75287" w:rsidRDefault="00E75287">
      <w:pPr>
        <w:rPr>
          <w:rFonts w:ascii="Permanent Marker" w:eastAsia="Permanent Marker" w:hAnsi="Permanent Marker" w:cs="Permanent Marker"/>
          <w:sz w:val="28"/>
          <w:szCs w:val="28"/>
        </w:rPr>
      </w:pPr>
    </w:p>
    <w:p w:rsidR="00E75287" w:rsidRDefault="001852BF">
      <w:pPr>
        <w:numPr>
          <w:ilvl w:val="0"/>
          <w:numId w:val="4"/>
        </w:numPr>
        <w:contextualSpacing/>
        <w:rPr>
          <w:sz w:val="24"/>
          <w:szCs w:val="24"/>
        </w:rPr>
      </w:pPr>
      <w:r>
        <w:rPr>
          <w:sz w:val="24"/>
          <w:szCs w:val="24"/>
        </w:rPr>
        <w:t xml:space="preserve">The </w:t>
      </w:r>
      <w:r>
        <w:rPr>
          <w:b/>
          <w:sz w:val="24"/>
          <w:szCs w:val="24"/>
        </w:rPr>
        <w:t xml:space="preserve">Injury Lawyers Scholarship </w:t>
      </w:r>
      <w:r>
        <w:rPr>
          <w:sz w:val="24"/>
          <w:szCs w:val="24"/>
        </w:rPr>
        <w:t>is being offered to students who have been negatively affected by an injury.  It is a $1500 one time scholarship.  Qualifications include the following:</w:t>
      </w:r>
    </w:p>
    <w:p w:rsidR="00E75287" w:rsidRDefault="001852BF">
      <w:pPr>
        <w:numPr>
          <w:ilvl w:val="1"/>
          <w:numId w:val="4"/>
        </w:numPr>
        <w:contextualSpacing/>
        <w:rPr>
          <w:sz w:val="24"/>
          <w:szCs w:val="24"/>
        </w:rPr>
      </w:pPr>
      <w:r>
        <w:rPr>
          <w:sz w:val="24"/>
          <w:szCs w:val="24"/>
        </w:rPr>
        <w:t>Minimum 2.5 GPA</w:t>
      </w:r>
    </w:p>
    <w:p w:rsidR="00E75287" w:rsidRDefault="001852BF">
      <w:pPr>
        <w:numPr>
          <w:ilvl w:val="1"/>
          <w:numId w:val="4"/>
        </w:numPr>
        <w:contextualSpacing/>
        <w:rPr>
          <w:sz w:val="24"/>
          <w:szCs w:val="24"/>
        </w:rPr>
      </w:pPr>
      <w:r>
        <w:rPr>
          <w:sz w:val="24"/>
          <w:szCs w:val="24"/>
        </w:rPr>
        <w:t>Personally affected by injury</w:t>
      </w:r>
    </w:p>
    <w:p w:rsidR="00E75287" w:rsidRDefault="001852BF">
      <w:pPr>
        <w:numPr>
          <w:ilvl w:val="1"/>
          <w:numId w:val="4"/>
        </w:numPr>
        <w:contextualSpacing/>
        <w:rPr>
          <w:sz w:val="24"/>
          <w:szCs w:val="24"/>
        </w:rPr>
      </w:pPr>
      <w:r>
        <w:rPr>
          <w:sz w:val="24"/>
          <w:szCs w:val="24"/>
        </w:rPr>
        <w:t>Application deadline of May 31, 2018</w:t>
      </w:r>
    </w:p>
    <w:p w:rsidR="00E75287" w:rsidRDefault="001852BF">
      <w:pPr>
        <w:numPr>
          <w:ilvl w:val="2"/>
          <w:numId w:val="4"/>
        </w:numPr>
        <w:contextualSpacing/>
        <w:rPr>
          <w:sz w:val="24"/>
          <w:szCs w:val="24"/>
        </w:rPr>
      </w:pPr>
      <w:r>
        <w:rPr>
          <w:sz w:val="24"/>
          <w:szCs w:val="24"/>
        </w:rPr>
        <w:t>For more information</w:t>
      </w:r>
      <w:r>
        <w:rPr>
          <w:sz w:val="24"/>
          <w:szCs w:val="24"/>
        </w:rPr>
        <w:t xml:space="preserve">, visit </w:t>
      </w:r>
      <w:hyperlink r:id="rId5" w:anchor="scholarship-application">
        <w:r>
          <w:rPr>
            <w:color w:val="1155CC"/>
            <w:sz w:val="19"/>
            <w:szCs w:val="19"/>
            <w:highlight w:val="white"/>
            <w:u w:val="single"/>
          </w:rPr>
          <w:t>https://www.bestinjurylawyer.com/#scholarship-application</w:t>
        </w:r>
      </w:hyperlink>
    </w:p>
    <w:p w:rsidR="00E75287" w:rsidRDefault="00E75287">
      <w:pPr>
        <w:ind w:left="1440"/>
        <w:rPr>
          <w:sz w:val="24"/>
          <w:szCs w:val="24"/>
        </w:rPr>
      </w:pPr>
    </w:p>
    <w:p w:rsidR="00E75287" w:rsidRDefault="00E75287">
      <w:pPr>
        <w:jc w:val="center"/>
        <w:rPr>
          <w:sz w:val="24"/>
          <w:szCs w:val="24"/>
        </w:rPr>
      </w:pPr>
    </w:p>
    <w:sectPr w:rsidR="00E7528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manent Marker">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5ADC"/>
    <w:multiLevelType w:val="multilevel"/>
    <w:tmpl w:val="C9289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BC7559"/>
    <w:multiLevelType w:val="multilevel"/>
    <w:tmpl w:val="3C529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85FFC"/>
    <w:multiLevelType w:val="multilevel"/>
    <w:tmpl w:val="0EE84A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3055FFA"/>
    <w:multiLevelType w:val="multilevel"/>
    <w:tmpl w:val="6AE40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C5658D"/>
    <w:multiLevelType w:val="multilevel"/>
    <w:tmpl w:val="43462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F46350"/>
    <w:multiLevelType w:val="multilevel"/>
    <w:tmpl w:val="A0729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8BA6A87"/>
    <w:multiLevelType w:val="multilevel"/>
    <w:tmpl w:val="1B969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0F456D"/>
    <w:multiLevelType w:val="multilevel"/>
    <w:tmpl w:val="69E62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5"/>
  </w:num>
  <w:num w:numId="4">
    <w:abstractNumId w:val="4"/>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87"/>
    <w:rsid w:val="001852BF"/>
    <w:rsid w:val="00E7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9D3BA-B528-429F-AD63-1D4BAAFD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stinjurylawy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Fuemmeler</dc:creator>
  <cp:lastModifiedBy>Teresa Fuemmeler</cp:lastModifiedBy>
  <cp:revision>2</cp:revision>
  <dcterms:created xsi:type="dcterms:W3CDTF">2017-09-21T19:27:00Z</dcterms:created>
  <dcterms:modified xsi:type="dcterms:W3CDTF">2017-09-21T19:27:00Z</dcterms:modified>
</cp:coreProperties>
</file>